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3F4D1" w14:textId="77777777" w:rsidR="001E2836" w:rsidRDefault="001E2836" w:rsidP="001E2836">
      <w:pPr>
        <w:pStyle w:val="Pealkiri2"/>
      </w:pPr>
      <w:bookmarkStart w:id="0" w:name="_Toc203379105"/>
      <w:r>
        <w:t>Siseministeerium</w:t>
      </w:r>
      <w:bookmarkEnd w:id="0"/>
    </w:p>
    <w:p w14:paraId="3F8AA854" w14:textId="77777777" w:rsidR="001E2836" w:rsidRDefault="001E2836" w:rsidP="001E2836">
      <w:pPr>
        <w:jc w:val="both"/>
        <w:rPr>
          <w:rFonts w:ascii="Roboto" w:hAnsi="Roboto"/>
          <w:sz w:val="20"/>
          <w:szCs w:val="20"/>
        </w:rPr>
      </w:pPr>
      <w:r>
        <w:rPr>
          <w:rFonts w:ascii="Speak Pro" w:hAnsi="Speak Pro"/>
          <w:b/>
          <w:bCs/>
          <w:color w:val="C00000"/>
          <w:sz w:val="22"/>
          <w:szCs w:val="22"/>
        </w:rPr>
        <w:t>Avalik huvi</w:t>
      </w:r>
      <w:r>
        <w:rPr>
          <w:rFonts w:ascii="Speak Pro" w:hAnsi="Speak Pro"/>
          <w:b/>
          <w:bCs/>
          <w:color w:val="C00000"/>
          <w:sz w:val="22"/>
          <w:szCs w:val="22"/>
        </w:rPr>
        <w:tab/>
      </w:r>
      <w:hyperlink r:id="rId4" w:history="1">
        <w:r w:rsidRPr="004A4FA0">
          <w:rPr>
            <w:rStyle w:val="Hperlink"/>
            <w:rFonts w:ascii="Roboto" w:hAnsi="Roboto"/>
            <w:color w:val="4C94D8" w:themeColor="text2" w:themeTint="80"/>
            <w:sz w:val="20"/>
            <w:szCs w:val="20"/>
          </w:rPr>
          <w:t>Rahastamise korras</w:t>
        </w:r>
      </w:hyperlink>
      <w:r w:rsidRPr="00EE1CB2">
        <w:rPr>
          <w:rFonts w:ascii="Roboto" w:hAnsi="Roboto"/>
          <w:sz w:val="20"/>
          <w:szCs w:val="20"/>
        </w:rPr>
        <w:t xml:space="preserve"> on </w:t>
      </w:r>
      <w:r>
        <w:rPr>
          <w:rFonts w:ascii="Roboto" w:hAnsi="Roboto"/>
          <w:sz w:val="20"/>
          <w:szCs w:val="20"/>
        </w:rPr>
        <w:t>ühese</w:t>
      </w:r>
      <w:r w:rsidRPr="00EE1CB2">
        <w:rPr>
          <w:rFonts w:ascii="Roboto" w:hAnsi="Roboto"/>
          <w:sz w:val="20"/>
          <w:szCs w:val="20"/>
        </w:rPr>
        <w:t xml:space="preserve">lt välja toodud, et rahastatakse avalikus huvis tegutsevaid organisatsioone </w:t>
      </w:r>
      <w:r>
        <w:rPr>
          <w:rFonts w:ascii="Roboto" w:hAnsi="Roboto"/>
          <w:sz w:val="20"/>
          <w:szCs w:val="20"/>
        </w:rPr>
        <w:t>ja</w:t>
      </w:r>
      <w:r w:rsidRPr="00EE1CB2">
        <w:rPr>
          <w:rFonts w:ascii="Roboto" w:hAnsi="Roboto"/>
          <w:sz w:val="20"/>
          <w:szCs w:val="20"/>
        </w:rPr>
        <w:t xml:space="preserve"> rahastamisotsused on kooskõlas avalike huvidega. Seotavad rahastamislepingud ja </w:t>
      </w:r>
      <w:hyperlink r:id="rId5" w:anchor="siseministeeriumi-st" w:history="1">
        <w:r w:rsidRPr="004A4FA0">
          <w:rPr>
            <w:rStyle w:val="Hperlink"/>
            <w:rFonts w:ascii="Roboto" w:hAnsi="Roboto"/>
            <w:color w:val="4C94D8" w:themeColor="text2" w:themeTint="80"/>
            <w:sz w:val="20"/>
            <w:szCs w:val="20"/>
          </w:rPr>
          <w:t>ministeeriumi veebileht</w:t>
        </w:r>
      </w:hyperlink>
      <w:r w:rsidRPr="00EE1CB2">
        <w:rPr>
          <w:rFonts w:ascii="Roboto" w:hAnsi="Roboto"/>
          <w:sz w:val="20"/>
          <w:szCs w:val="20"/>
        </w:rPr>
        <w:t xml:space="preserve"> viitavad, millistesse arengukavadesse rahastatud ühenduste tegevus panustab (lepingus kirjas ka, milliste tegevuste kaudu). </w:t>
      </w:r>
      <w:r>
        <w:rPr>
          <w:rFonts w:ascii="Roboto" w:hAnsi="Roboto"/>
          <w:sz w:val="20"/>
          <w:szCs w:val="20"/>
        </w:rPr>
        <w:t>S</w:t>
      </w:r>
      <w:r w:rsidRPr="00EE1CB2">
        <w:rPr>
          <w:rFonts w:ascii="Roboto" w:hAnsi="Roboto"/>
          <w:sz w:val="20"/>
          <w:szCs w:val="20"/>
        </w:rPr>
        <w:t xml:space="preserve">isse </w:t>
      </w:r>
      <w:r>
        <w:rPr>
          <w:rFonts w:ascii="Roboto" w:hAnsi="Roboto"/>
          <w:sz w:val="20"/>
          <w:szCs w:val="20"/>
        </w:rPr>
        <w:t xml:space="preserve">on </w:t>
      </w:r>
      <w:r w:rsidRPr="00EE1CB2">
        <w:rPr>
          <w:rFonts w:ascii="Roboto" w:hAnsi="Roboto"/>
          <w:sz w:val="20"/>
          <w:szCs w:val="20"/>
        </w:rPr>
        <w:t>seatud strateegiline partnerlus.</w:t>
      </w:r>
    </w:p>
    <w:p w14:paraId="45687C7A" w14:textId="77777777" w:rsidR="001E2836" w:rsidRDefault="001E2836" w:rsidP="001E2836">
      <w:pPr>
        <w:jc w:val="both"/>
        <w:rPr>
          <w:rFonts w:ascii="Roboto" w:hAnsi="Roboto"/>
          <w:sz w:val="20"/>
          <w:szCs w:val="20"/>
        </w:rPr>
      </w:pPr>
      <w:r>
        <w:rPr>
          <w:rFonts w:ascii="Speak Pro" w:hAnsi="Speak Pro"/>
          <w:b/>
          <w:bCs/>
          <w:color w:val="C00000"/>
          <w:sz w:val="22"/>
          <w:szCs w:val="22"/>
        </w:rPr>
        <w:t>Tulemuslikkus</w:t>
      </w:r>
      <w:r>
        <w:rPr>
          <w:rFonts w:ascii="Speak Pro" w:hAnsi="Speak Pro"/>
          <w:b/>
          <w:bCs/>
          <w:color w:val="C00000"/>
          <w:sz w:val="22"/>
          <w:szCs w:val="22"/>
        </w:rPr>
        <w:tab/>
      </w:r>
      <w:r w:rsidRPr="00581E10">
        <w:rPr>
          <w:rFonts w:ascii="Roboto" w:hAnsi="Roboto"/>
          <w:sz w:val="20"/>
          <w:szCs w:val="20"/>
        </w:rPr>
        <w:t xml:space="preserve">Mõju hindamise kriteerium ei ole lahti selgitatud ja sellepärast ei saa öelda, kas sellest on abi rahastamise laiema tulemuslikkuse hindamisel. Samuti ei ole rahastamistingimustes kokku lepitud muid läbivaid tulemuslikkuse hindamise indikaatoreid </w:t>
      </w:r>
      <w:r>
        <w:rPr>
          <w:rFonts w:ascii="Roboto" w:hAnsi="Roboto"/>
          <w:sz w:val="20"/>
          <w:szCs w:val="20"/>
        </w:rPr>
        <w:t>ega</w:t>
      </w:r>
      <w:r w:rsidRPr="00581E10">
        <w:rPr>
          <w:rFonts w:ascii="Roboto" w:hAnsi="Roboto"/>
          <w:sz w:val="20"/>
          <w:szCs w:val="20"/>
        </w:rPr>
        <w:t xml:space="preserve"> metoodikat. Summade jaotu</w:t>
      </w:r>
      <w:r>
        <w:rPr>
          <w:rFonts w:ascii="Roboto" w:hAnsi="Roboto"/>
          <w:sz w:val="20"/>
          <w:szCs w:val="20"/>
        </w:rPr>
        <w:t>m</w:t>
      </w:r>
      <w:r w:rsidRPr="00581E10">
        <w:rPr>
          <w:rFonts w:ascii="Roboto" w:hAnsi="Roboto"/>
          <w:sz w:val="20"/>
          <w:szCs w:val="20"/>
        </w:rPr>
        <w:t xml:space="preserve">us taotlejate vahel oleneb suuresti toetatavast tegevusest. Rahastatud ühendused esitavad </w:t>
      </w:r>
      <w:r>
        <w:rPr>
          <w:rFonts w:ascii="Roboto" w:hAnsi="Roboto"/>
          <w:sz w:val="20"/>
          <w:szCs w:val="20"/>
        </w:rPr>
        <w:t>a</w:t>
      </w:r>
      <w:r w:rsidRPr="00581E10">
        <w:rPr>
          <w:rFonts w:ascii="Roboto" w:hAnsi="Roboto"/>
          <w:sz w:val="20"/>
          <w:szCs w:val="20"/>
        </w:rPr>
        <w:t>ruandluses ülevaate peamiselt tulemusindikaatoritest. Esitatud aruannete kohta ei tehta koondanalüüsi.</w:t>
      </w:r>
    </w:p>
    <w:p w14:paraId="547C259E" w14:textId="77777777" w:rsidR="001E2836" w:rsidRDefault="001E2836" w:rsidP="001E2836">
      <w:pPr>
        <w:jc w:val="both"/>
        <w:rPr>
          <w:rFonts w:ascii="Roboto" w:hAnsi="Roboto"/>
          <w:sz w:val="20"/>
          <w:szCs w:val="20"/>
        </w:rPr>
      </w:pPr>
      <w:r>
        <w:rPr>
          <w:rFonts w:ascii="Speak Pro" w:hAnsi="Speak Pro"/>
          <w:b/>
          <w:bCs/>
          <w:color w:val="C00000"/>
          <w:sz w:val="22"/>
          <w:szCs w:val="22"/>
        </w:rPr>
        <w:t>Kaasatus</w:t>
      </w:r>
      <w:r>
        <w:rPr>
          <w:rFonts w:ascii="Speak Pro" w:hAnsi="Speak Pro"/>
          <w:b/>
          <w:bCs/>
          <w:color w:val="C00000"/>
          <w:sz w:val="22"/>
          <w:szCs w:val="22"/>
        </w:rPr>
        <w:tab/>
      </w:r>
      <w:r w:rsidRPr="00B848EA">
        <w:rPr>
          <w:rFonts w:ascii="Roboto" w:hAnsi="Roboto"/>
          <w:sz w:val="20"/>
          <w:szCs w:val="20"/>
        </w:rPr>
        <w:t xml:space="preserve">Otsest </w:t>
      </w:r>
      <w:r>
        <w:rPr>
          <w:rFonts w:ascii="Roboto" w:hAnsi="Roboto"/>
          <w:sz w:val="20"/>
          <w:szCs w:val="20"/>
        </w:rPr>
        <w:t>tagasiside küsimist</w:t>
      </w:r>
      <w:r w:rsidRPr="00B848EA">
        <w:rPr>
          <w:rFonts w:ascii="Roboto" w:hAnsi="Roboto"/>
          <w:sz w:val="20"/>
          <w:szCs w:val="20"/>
        </w:rPr>
        <w:t xml:space="preserve"> vabaühenduste</w:t>
      </w:r>
      <w:r>
        <w:rPr>
          <w:rFonts w:ascii="Roboto" w:hAnsi="Roboto"/>
          <w:sz w:val="20"/>
          <w:szCs w:val="20"/>
        </w:rPr>
        <w:t>lt</w:t>
      </w:r>
      <w:r w:rsidRPr="00B848EA">
        <w:rPr>
          <w:rFonts w:ascii="Roboto" w:hAnsi="Roboto"/>
          <w:sz w:val="20"/>
          <w:szCs w:val="20"/>
        </w:rPr>
        <w:t xml:space="preserve"> </w:t>
      </w:r>
      <w:r>
        <w:rPr>
          <w:rFonts w:ascii="Roboto" w:hAnsi="Roboto"/>
          <w:sz w:val="20"/>
          <w:szCs w:val="20"/>
        </w:rPr>
        <w:t xml:space="preserve">lõppenud voorude kohta </w:t>
      </w:r>
      <w:r w:rsidRPr="00B848EA">
        <w:rPr>
          <w:rFonts w:ascii="Roboto" w:hAnsi="Roboto"/>
          <w:sz w:val="20"/>
          <w:szCs w:val="20"/>
        </w:rPr>
        <w:t>ei tehta.</w:t>
      </w:r>
      <w:r>
        <w:rPr>
          <w:rFonts w:ascii="Roboto" w:hAnsi="Roboto"/>
          <w:sz w:val="20"/>
          <w:szCs w:val="20"/>
        </w:rPr>
        <w:t xml:space="preserve"> Uute voorude väljatöötamisel on asjast huvitatud pooltel võimalus esitada enda arvamus, millega tegeldakse jooksvalt.</w:t>
      </w:r>
      <w:r w:rsidRPr="00B848EA">
        <w:rPr>
          <w:rFonts w:ascii="Roboto" w:hAnsi="Roboto"/>
          <w:sz w:val="20"/>
          <w:szCs w:val="20"/>
        </w:rPr>
        <w:t xml:space="preserve"> Alusdokumentide väljatöötamisel võetakse arvesse </w:t>
      </w:r>
      <w:r>
        <w:rPr>
          <w:rFonts w:ascii="Roboto" w:hAnsi="Roboto"/>
          <w:sz w:val="20"/>
          <w:szCs w:val="20"/>
        </w:rPr>
        <w:t xml:space="preserve">ka </w:t>
      </w:r>
      <w:r w:rsidRPr="00B848EA">
        <w:rPr>
          <w:rFonts w:ascii="Roboto" w:hAnsi="Roboto"/>
          <w:sz w:val="20"/>
          <w:szCs w:val="20"/>
        </w:rPr>
        <w:t>vabaühenduste osalusel läbi  viidud rahastamise korrastamise programmis loodud juhendmaterjali.</w:t>
      </w:r>
    </w:p>
    <w:p w14:paraId="39BBFB4F" w14:textId="77777777" w:rsidR="001E2836" w:rsidRDefault="001E2836" w:rsidP="001E2836">
      <w:pPr>
        <w:jc w:val="both"/>
        <w:rPr>
          <w:rFonts w:ascii="Roboto" w:hAnsi="Roboto"/>
          <w:sz w:val="20"/>
          <w:szCs w:val="20"/>
        </w:rPr>
      </w:pPr>
      <w:r>
        <w:rPr>
          <w:rFonts w:ascii="Speak Pro" w:hAnsi="Speak Pro"/>
          <w:b/>
          <w:bCs/>
          <w:color w:val="C00000"/>
          <w:sz w:val="22"/>
          <w:szCs w:val="22"/>
        </w:rPr>
        <w:t>Läbipaistvus</w:t>
      </w:r>
      <w:r>
        <w:rPr>
          <w:rFonts w:ascii="Speak Pro" w:hAnsi="Speak Pro"/>
          <w:b/>
          <w:bCs/>
          <w:color w:val="C00000"/>
          <w:sz w:val="22"/>
          <w:szCs w:val="22"/>
        </w:rPr>
        <w:tab/>
      </w:r>
      <w:r>
        <w:rPr>
          <w:rFonts w:ascii="Roboto" w:hAnsi="Roboto"/>
          <w:sz w:val="20"/>
          <w:szCs w:val="20"/>
        </w:rPr>
        <w:t>Rahastamise</w:t>
      </w:r>
      <w:r w:rsidRPr="006E6F14">
        <w:rPr>
          <w:rFonts w:ascii="Roboto" w:hAnsi="Roboto"/>
          <w:sz w:val="20"/>
          <w:szCs w:val="20"/>
        </w:rPr>
        <w:t xml:space="preserve"> lehekülg </w:t>
      </w:r>
      <w:hyperlink r:id="rId6" w:history="1">
        <w:r w:rsidRPr="00C22D10">
          <w:rPr>
            <w:rStyle w:val="Hperlink"/>
            <w:rFonts w:ascii="Roboto" w:hAnsi="Roboto"/>
            <w:color w:val="4C94D8" w:themeColor="text2" w:themeTint="80"/>
            <w:sz w:val="20"/>
            <w:szCs w:val="20"/>
          </w:rPr>
          <w:t>ministeeriumi veebis</w:t>
        </w:r>
      </w:hyperlink>
      <w:r w:rsidRPr="006E6F14">
        <w:rPr>
          <w:rFonts w:ascii="Roboto" w:hAnsi="Roboto"/>
          <w:sz w:val="20"/>
          <w:szCs w:val="20"/>
        </w:rPr>
        <w:t xml:space="preserve"> on üsna askeetlikult sisustatud. Rahastamise kord tugineb vabaühenduste rahastamise juhendmaterjalile.</w:t>
      </w:r>
      <w:r>
        <w:rPr>
          <w:rFonts w:ascii="Roboto" w:hAnsi="Roboto"/>
          <w:sz w:val="20"/>
          <w:szCs w:val="20"/>
        </w:rPr>
        <w:t xml:space="preserve"> </w:t>
      </w:r>
      <w:r w:rsidRPr="006E6F14">
        <w:rPr>
          <w:rFonts w:ascii="Roboto" w:hAnsi="Roboto"/>
          <w:sz w:val="20"/>
          <w:szCs w:val="20"/>
        </w:rPr>
        <w:t>Toetusi jagatakse konkursi korras. Rahastamise kor</w:t>
      </w:r>
      <w:r>
        <w:rPr>
          <w:rFonts w:ascii="Roboto" w:hAnsi="Roboto"/>
          <w:sz w:val="20"/>
          <w:szCs w:val="20"/>
        </w:rPr>
        <w:t>d</w:t>
      </w:r>
      <w:r w:rsidRPr="006E6F14">
        <w:rPr>
          <w:rFonts w:ascii="Roboto" w:hAnsi="Roboto"/>
          <w:sz w:val="20"/>
          <w:szCs w:val="20"/>
        </w:rPr>
        <w:t xml:space="preserve"> </w:t>
      </w:r>
      <w:r>
        <w:rPr>
          <w:rFonts w:ascii="Roboto" w:hAnsi="Roboto"/>
          <w:sz w:val="20"/>
          <w:szCs w:val="20"/>
        </w:rPr>
        <w:t>selgitab</w:t>
      </w:r>
      <w:r w:rsidRPr="006E6F14">
        <w:rPr>
          <w:rFonts w:ascii="Roboto" w:hAnsi="Roboto"/>
          <w:sz w:val="20"/>
          <w:szCs w:val="20"/>
        </w:rPr>
        <w:t xml:space="preserve"> ka sihtfinantseeringu</w:t>
      </w:r>
      <w:r>
        <w:rPr>
          <w:rFonts w:ascii="Roboto" w:hAnsi="Roboto"/>
          <w:sz w:val="20"/>
          <w:szCs w:val="20"/>
        </w:rPr>
        <w:t>t</w:t>
      </w:r>
      <w:r w:rsidRPr="006E6F14">
        <w:rPr>
          <w:rFonts w:ascii="Roboto" w:hAnsi="Roboto"/>
          <w:sz w:val="20"/>
          <w:szCs w:val="20"/>
        </w:rPr>
        <w:t xml:space="preserve">. 2023. aasta RES seletuskirjas on rahastatavad (osaliselt nimepidi, osaliselt </w:t>
      </w:r>
      <w:proofErr w:type="spellStart"/>
      <w:r w:rsidRPr="006E6F14">
        <w:rPr>
          <w:rFonts w:ascii="Roboto" w:hAnsi="Roboto"/>
          <w:sz w:val="20"/>
          <w:szCs w:val="20"/>
        </w:rPr>
        <w:t>valdkonniti</w:t>
      </w:r>
      <w:proofErr w:type="spellEnd"/>
      <w:r w:rsidRPr="006E6F14">
        <w:rPr>
          <w:rFonts w:ascii="Roboto" w:hAnsi="Roboto"/>
          <w:sz w:val="20"/>
          <w:szCs w:val="20"/>
        </w:rPr>
        <w:t>) välja toodud. Konkurssidele laekunud avaldus</w:t>
      </w:r>
      <w:r>
        <w:rPr>
          <w:rFonts w:ascii="Roboto" w:hAnsi="Roboto"/>
          <w:sz w:val="20"/>
          <w:szCs w:val="20"/>
        </w:rPr>
        <w:t>te</w:t>
      </w:r>
      <w:r w:rsidRPr="006E6F14">
        <w:rPr>
          <w:rFonts w:ascii="Roboto" w:hAnsi="Roboto"/>
          <w:sz w:val="20"/>
          <w:szCs w:val="20"/>
        </w:rPr>
        <w:t xml:space="preserve"> </w:t>
      </w:r>
      <w:r>
        <w:rPr>
          <w:rFonts w:ascii="Roboto" w:hAnsi="Roboto"/>
          <w:sz w:val="20"/>
          <w:szCs w:val="20"/>
        </w:rPr>
        <w:t>s</w:t>
      </w:r>
      <w:r w:rsidRPr="006E6F14">
        <w:rPr>
          <w:rFonts w:ascii="Roboto" w:hAnsi="Roboto"/>
          <w:sz w:val="20"/>
          <w:szCs w:val="20"/>
        </w:rPr>
        <w:t>isulise hindamise kriteeriumid on kirjas TAT-is</w:t>
      </w:r>
      <w:r>
        <w:rPr>
          <w:rFonts w:ascii="Roboto" w:hAnsi="Roboto"/>
          <w:sz w:val="20"/>
          <w:szCs w:val="20"/>
        </w:rPr>
        <w:t>.</w:t>
      </w:r>
      <w:r w:rsidRPr="006E6F14">
        <w:rPr>
          <w:rFonts w:ascii="Roboto" w:hAnsi="Roboto"/>
          <w:sz w:val="20"/>
          <w:szCs w:val="20"/>
        </w:rPr>
        <w:t xml:space="preserve"> Taotluste hindamisel antakse taotlejaile tagasisidet ja võimalus kõrvaldada vormilised puudused. Otsus osaliseks rahastamiseks tehakse dialoogis taotlejaga. Toetuste kasutamise aruannetele saab ministeeriumi dokumendiregistrist ligi.</w:t>
      </w:r>
    </w:p>
    <w:p w14:paraId="7BA4E887" w14:textId="77777777" w:rsidR="001E2836" w:rsidRDefault="001E2836" w:rsidP="001E2836">
      <w:pPr>
        <w:jc w:val="both"/>
        <w:rPr>
          <w:rFonts w:ascii="Roboto" w:hAnsi="Roboto"/>
          <w:sz w:val="20"/>
          <w:szCs w:val="20"/>
        </w:rPr>
      </w:pPr>
      <w:r>
        <w:rPr>
          <w:rFonts w:ascii="Speak Pro" w:hAnsi="Speak Pro"/>
          <w:b/>
          <w:bCs/>
          <w:color w:val="C00000"/>
          <w:sz w:val="22"/>
          <w:szCs w:val="22"/>
        </w:rPr>
        <w:t>Ligipääsetavus</w:t>
      </w:r>
      <w:r>
        <w:rPr>
          <w:rFonts w:ascii="Speak Pro" w:hAnsi="Speak Pro"/>
          <w:b/>
          <w:bCs/>
          <w:color w:val="C00000"/>
          <w:sz w:val="22"/>
          <w:szCs w:val="22"/>
        </w:rPr>
        <w:tab/>
      </w:r>
      <w:r w:rsidRPr="00F61E42">
        <w:rPr>
          <w:rFonts w:ascii="Roboto" w:hAnsi="Roboto"/>
          <w:sz w:val="20"/>
          <w:szCs w:val="20"/>
        </w:rPr>
        <w:t>Rahastamise reeglid (kriteeriumid) on selgelt välja toodud koos nende eest saadavate punktide summadega. E</w:t>
      </w:r>
      <w:r>
        <w:rPr>
          <w:rFonts w:ascii="Roboto" w:hAnsi="Roboto"/>
          <w:sz w:val="20"/>
          <w:szCs w:val="20"/>
        </w:rPr>
        <w:t>i</w:t>
      </w:r>
      <w:r w:rsidRPr="00F61E42">
        <w:rPr>
          <w:rFonts w:ascii="Roboto" w:hAnsi="Roboto"/>
          <w:sz w:val="20"/>
          <w:szCs w:val="20"/>
        </w:rPr>
        <w:t xml:space="preserve"> ole näidatud, mille alusel nende kriteeriumide sees punkte jagatakse. Rahastamise korras on eristatud tegevus- ja projektitoetus. Tegevustoetuse jagamine on 2021 rahastamise korras (võrreldes 2018 aasta rahastamise korraga) sõnastatud samuti üldjuhul konkursi korras toimuvaks. Erandid (sihtfin</w:t>
      </w:r>
      <w:r>
        <w:rPr>
          <w:rFonts w:ascii="Roboto" w:hAnsi="Roboto"/>
          <w:sz w:val="20"/>
          <w:szCs w:val="20"/>
        </w:rPr>
        <w:t>antseerimine</w:t>
      </w:r>
      <w:r w:rsidRPr="00F61E42">
        <w:rPr>
          <w:rFonts w:ascii="Roboto" w:hAnsi="Roboto"/>
          <w:sz w:val="20"/>
          <w:szCs w:val="20"/>
        </w:rPr>
        <w:t>) on rahastamise korras välja toodud, kuid neil peab olema selge eesmärk. Toetuse taotlejaile esitatud nõuded ei ole diskrimineerivad ja tulenevad rahastamise eesmärgist. Omafinantseeringu nõue puudub.</w:t>
      </w:r>
    </w:p>
    <w:p w14:paraId="1C13D47F" w14:textId="0079734A" w:rsidR="001E2836" w:rsidRDefault="001E2836" w:rsidP="001E2836">
      <w:r>
        <w:rPr>
          <w:rFonts w:ascii="Speak Pro" w:hAnsi="Speak Pro"/>
          <w:b/>
          <w:bCs/>
          <w:color w:val="C00000"/>
          <w:sz w:val="22"/>
          <w:szCs w:val="22"/>
        </w:rPr>
        <w:t>Võimekus</w:t>
      </w:r>
      <w:r>
        <w:rPr>
          <w:rFonts w:ascii="Speak Pro" w:hAnsi="Speak Pro"/>
          <w:b/>
          <w:bCs/>
          <w:color w:val="C00000"/>
          <w:sz w:val="22"/>
          <w:szCs w:val="22"/>
        </w:rPr>
        <w:tab/>
      </w:r>
      <w:r w:rsidRPr="005E6CC4">
        <w:rPr>
          <w:rFonts w:ascii="Roboto" w:hAnsi="Roboto"/>
          <w:sz w:val="20"/>
          <w:szCs w:val="20"/>
        </w:rPr>
        <w:t xml:space="preserve">Ühenduste vajaduste eraldiseisvat hindamist ei tehta. Samuti ei ole seatud mõõdikuid taotleja võimekuse kasvu hindamiseks seoses saadud toetustega. Ministeeriumi hinnangul on taotluse hindamise kriteeriumide seas paar, mis võimaldavad võimekust pinnapealselt mõõta (panus valdkonna arengusse ja vastutavate isikute kompetents). Rahastus võimaldab katta </w:t>
      </w:r>
      <w:proofErr w:type="spellStart"/>
      <w:r w:rsidRPr="005E6CC4">
        <w:rPr>
          <w:rFonts w:ascii="Roboto" w:hAnsi="Roboto"/>
          <w:sz w:val="20"/>
          <w:szCs w:val="20"/>
        </w:rPr>
        <w:t>ekspertsuse</w:t>
      </w:r>
      <w:proofErr w:type="spellEnd"/>
      <w:r w:rsidRPr="005E6CC4">
        <w:rPr>
          <w:rFonts w:ascii="Roboto" w:hAnsi="Roboto"/>
          <w:sz w:val="20"/>
          <w:szCs w:val="20"/>
        </w:rPr>
        <w:t xml:space="preserve"> tõstmise kulusid (strateegialoome, ekspertide kaasamine jne). Toetustega saab katta ka üldkulusi</w:t>
      </w:r>
      <w:r>
        <w:rPr>
          <w:rFonts w:ascii="Roboto" w:hAnsi="Roboto"/>
          <w:sz w:val="20"/>
          <w:szCs w:val="20"/>
        </w:rPr>
        <w:t>d.</w:t>
      </w:r>
    </w:p>
    <w:sectPr w:rsidR="001E2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peak Pro">
    <w:charset w:val="00"/>
    <w:family w:val="swiss"/>
    <w:pitch w:val="variable"/>
    <w:sig w:usb0="8000002F" w:usb1="0000000A"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36"/>
    <w:rsid w:val="001E2836"/>
    <w:rsid w:val="00744A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BD47"/>
  <w15:chartTrackingRefBased/>
  <w15:docId w15:val="{CF5B31E5-F75F-44B0-9B12-1D5A5733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E2836"/>
  </w:style>
  <w:style w:type="paragraph" w:styleId="Pealkiri1">
    <w:name w:val="heading 1"/>
    <w:basedOn w:val="Normaallaad"/>
    <w:next w:val="Normaallaad"/>
    <w:link w:val="Pealkiri1Mrk"/>
    <w:uiPriority w:val="9"/>
    <w:qFormat/>
    <w:rsid w:val="001E2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1E2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E283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E283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E283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E283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E283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E283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E283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E283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1E283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E283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E283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E283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E283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E283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E283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E283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E2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E283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E283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E283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E2836"/>
    <w:pPr>
      <w:spacing w:before="160"/>
      <w:jc w:val="center"/>
    </w:pPr>
    <w:rPr>
      <w:i/>
      <w:iCs/>
      <w:color w:val="404040" w:themeColor="text1" w:themeTint="BF"/>
    </w:rPr>
  </w:style>
  <w:style w:type="character" w:customStyle="1" w:styleId="TsitaatMrk">
    <w:name w:val="Tsitaat Märk"/>
    <w:basedOn w:val="Liguvaikefont"/>
    <w:link w:val="Tsitaat"/>
    <w:uiPriority w:val="29"/>
    <w:rsid w:val="001E2836"/>
    <w:rPr>
      <w:i/>
      <w:iCs/>
      <w:color w:val="404040" w:themeColor="text1" w:themeTint="BF"/>
    </w:rPr>
  </w:style>
  <w:style w:type="paragraph" w:styleId="Loendilik">
    <w:name w:val="List Paragraph"/>
    <w:basedOn w:val="Normaallaad"/>
    <w:uiPriority w:val="34"/>
    <w:qFormat/>
    <w:rsid w:val="001E2836"/>
    <w:pPr>
      <w:ind w:left="720"/>
      <w:contextualSpacing/>
    </w:pPr>
  </w:style>
  <w:style w:type="character" w:styleId="Selgeltmrgatavrhutus">
    <w:name w:val="Intense Emphasis"/>
    <w:basedOn w:val="Liguvaikefont"/>
    <w:uiPriority w:val="21"/>
    <w:qFormat/>
    <w:rsid w:val="001E2836"/>
    <w:rPr>
      <w:i/>
      <w:iCs/>
      <w:color w:val="0F4761" w:themeColor="accent1" w:themeShade="BF"/>
    </w:rPr>
  </w:style>
  <w:style w:type="paragraph" w:styleId="Selgeltmrgatavtsitaat">
    <w:name w:val="Intense Quote"/>
    <w:basedOn w:val="Normaallaad"/>
    <w:next w:val="Normaallaad"/>
    <w:link w:val="SelgeltmrgatavtsitaatMrk"/>
    <w:uiPriority w:val="30"/>
    <w:qFormat/>
    <w:rsid w:val="001E2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E2836"/>
    <w:rPr>
      <w:i/>
      <w:iCs/>
      <w:color w:val="0F4761" w:themeColor="accent1" w:themeShade="BF"/>
    </w:rPr>
  </w:style>
  <w:style w:type="character" w:styleId="Selgeltmrgatavviide">
    <w:name w:val="Intense Reference"/>
    <w:basedOn w:val="Liguvaikefont"/>
    <w:uiPriority w:val="32"/>
    <w:qFormat/>
    <w:rsid w:val="001E2836"/>
    <w:rPr>
      <w:b/>
      <w:bCs/>
      <w:smallCaps/>
      <w:color w:val="0F4761" w:themeColor="accent1" w:themeShade="BF"/>
      <w:spacing w:val="5"/>
    </w:rPr>
  </w:style>
  <w:style w:type="character" w:styleId="Hperlink">
    <w:name w:val="Hyperlink"/>
    <w:basedOn w:val="Liguvaikefont"/>
    <w:uiPriority w:val="99"/>
    <w:unhideWhenUsed/>
    <w:rsid w:val="001E28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seministeerium.ee/riigieelarvelised-toetused" TargetMode="External"/><Relationship Id="rId11" Type="http://schemas.openxmlformats.org/officeDocument/2006/relationships/customXml" Target="../customXml/item3.xml"/><Relationship Id="rId5" Type="http://schemas.openxmlformats.org/officeDocument/2006/relationships/hyperlink" Target="https://www.siseministeerium.ee/tegevusvaldkonnad/sidus-uhiskond/kodanikuuhiskond" TargetMode="External"/><Relationship Id="rId10" Type="http://schemas.openxmlformats.org/officeDocument/2006/relationships/customXml" Target="../customXml/item2.xml"/><Relationship Id="rId4" Type="http://schemas.openxmlformats.org/officeDocument/2006/relationships/hyperlink" Target="https://www.siseministeerium.ee/sites/default/files/documents/2021-11/riigieelarvelise_toetuse_andmise_kord_2021.pdf" TargetMode="External"/><Relationship Id="rId9"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9" ma:contentTypeDescription="Loo uus dokument" ma:contentTypeScope="" ma:versionID="fa25ccc256847391e12029c5f4c3d381">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cfdf7e5376cd8b13e24d22d8ff9664c2"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7D9B693A-B245-4F6D-B769-00869D259DDB}"/>
</file>

<file path=customXml/itemProps2.xml><?xml version="1.0" encoding="utf-8"?>
<ds:datastoreItem xmlns:ds="http://schemas.openxmlformats.org/officeDocument/2006/customXml" ds:itemID="{AE6ECEA3-634D-4CB3-966F-3FCA791FAE58}"/>
</file>

<file path=customXml/itemProps3.xml><?xml version="1.0" encoding="utf-8"?>
<ds:datastoreItem xmlns:ds="http://schemas.openxmlformats.org/officeDocument/2006/customXml" ds:itemID="{15EEEE44-38D1-4CFB-8832-B7755E810CB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2848</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2</cp:revision>
  <dcterms:created xsi:type="dcterms:W3CDTF">2025-07-29T13:12:00Z</dcterms:created>
  <dcterms:modified xsi:type="dcterms:W3CDTF">2025-07-29T13:12:00Z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